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p w14:paraId="32E98365" w14:textId="3AFB168F" w:rsidR="00056CF6" w:rsidRDefault="00056CF6">
      <w:pPr>
        <w:rPr>
          <w:rFonts w:asciiTheme="minorHAnsi" w:hAnsiTheme="minorHAnsi"/>
        </w:rPr>
      </w:pPr>
    </w:p>
    <w:p w14:paraId="5F66598E" w14:textId="1056BF0F" w:rsidR="00056CF6" w:rsidRDefault="00056CF6">
      <w:pPr>
        <w:rPr>
          <w:rFonts w:asciiTheme="minorHAnsi" w:hAnsiTheme="minorHAnsi"/>
        </w:rPr>
      </w:pPr>
    </w:p>
    <w:p w14:paraId="0BB78022" w14:textId="6FF2C4D0" w:rsidR="008A7551" w:rsidRPr="00BF2874" w:rsidRDefault="001B26E4" w:rsidP="00BF2874">
      <w:pPr>
        <w:jc w:val="right"/>
        <w:rPr>
          <w:rFonts w:asciiTheme="minorHAnsi" w:hAnsiTheme="minorHAnsi"/>
          <w:i/>
          <w:sz w:val="24"/>
          <w:szCs w:val="22"/>
          <w:highlight w:val="yellow"/>
        </w:rPr>
      </w:pPr>
      <w:r w:rsidRPr="00BF2874">
        <w:rPr>
          <w:rFonts w:ascii="Arial Narrow" w:hAnsi="Arial Narrow"/>
          <w:i/>
          <w:sz w:val="20"/>
          <w:szCs w:val="18"/>
        </w:rPr>
        <w:t>Príloha č. 3  výzvy – Zoznam povinných merateľných ukazovateľov projektu</w:t>
      </w: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4EB7E3D8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932035D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38F31772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ACC63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3DD3CD" w14:textId="77777777" w:rsidR="008A7551" w:rsidRPr="00264E75" w:rsidRDefault="00F83DC6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369677119"/>
                <w:placeholder>
                  <w:docPart w:val="616CCAB28A9D436D879A8C3504C090C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1E63E8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D73E30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C79A61B" w14:textId="2B325BBD" w:rsidR="008A7551" w:rsidRPr="00A42D69" w:rsidRDefault="00410A78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8A7551" w:rsidRPr="00A42D69" w14:paraId="10115B3F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F9063A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470A25C" w14:textId="5443D03F" w:rsidR="008A7551" w:rsidRPr="00A42D69" w:rsidRDefault="00F83DC6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712343508"/>
                <w:placeholder>
                  <w:docPart w:val="2FE72F12B2FE4AE385C9DC36D2326E5D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D1 Učebne základných škôl</w:t>
                </w:r>
              </w:sdtContent>
            </w:sdt>
          </w:p>
        </w:tc>
      </w:tr>
      <w:tr w:rsidR="008A7551" w:rsidRPr="00A42D69" w14:paraId="202000FF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63FBB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27931F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43C9DA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A395E0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B97882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50EDAB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FBA75D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468B5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5CA68F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6E6B87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A7551" w:rsidRPr="009365C4" w14:paraId="0FFD613A" w14:textId="77777777" w:rsidTr="0092560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30025" w14:textId="4B738EE6" w:rsidR="008A7551" w:rsidRPr="009365C4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9462F" w14:textId="68ACFB89" w:rsidR="008A7551" w:rsidRPr="009365C4" w:rsidRDefault="00925601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C66280" w14:textId="2F41C30F" w:rsidR="008A7551" w:rsidRPr="009365C4" w:rsidRDefault="0086371B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učební v ZŠ ktoré dostávajú podporu z CLLD. Viac učební môže byť podporených v rámci jednej školy.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závislosti od nadefinovaných potrieb územia a v súlade s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princípmi výberu v CLLD.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BD91C7" w14:textId="7DBFEBAD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8E71DC" w14:textId="5BFDE130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2D459" w14:textId="4B032F2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89227D" w14:textId="1D526CF6" w:rsidR="008A7551" w:rsidRPr="008C0112" w:rsidRDefault="005664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5664F6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BA595A" w:rsidRPr="00BA595A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="00BA595A"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CEC2D" w14:textId="018F06C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3EE2C2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687B09C" w14:textId="79CB77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</w:tcPr>
          <w:p w14:paraId="1E8F0F8A" w14:textId="4F70601C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7153E3D1" w14:textId="3AD2828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ZŠ dostávajúcich podporu zo stratégie CLLD.</w:t>
            </w:r>
          </w:p>
        </w:tc>
        <w:tc>
          <w:tcPr>
            <w:tcW w:w="1058" w:type="dxa"/>
            <w:shd w:val="clear" w:color="auto" w:fill="FFFFFF" w:themeFill="background1"/>
          </w:tcPr>
          <w:p w14:paraId="3A57BC17" w14:textId="7B5E4C0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shd w:val="clear" w:color="auto" w:fill="FFFFFF" w:themeFill="background1"/>
          </w:tcPr>
          <w:p w14:paraId="52D79F3D" w14:textId="6486B862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3504BBAE" w14:textId="0CB345F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11A0D7DB" w14:textId="4EB6ED42" w:rsidR="0086371B" w:rsidRPr="008C0112" w:rsidRDefault="00BA595A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 w:rsidRPr="00BA595A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shd w:val="clear" w:color="auto" w:fill="FFFFFF" w:themeFill="background1"/>
          </w:tcPr>
          <w:p w14:paraId="6285B7A3" w14:textId="76CC6F14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4CE6BE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C412480" w14:textId="2F0F893D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</w:tcPr>
          <w:p w14:paraId="0A2213A7" w14:textId="3ACE96A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 xml:space="preserve">Kapacita podporenej školskej </w:t>
            </w:r>
            <w:r w:rsidRPr="00925601">
              <w:rPr>
                <w:rFonts w:asciiTheme="minorHAnsi" w:hAnsiTheme="minorHAnsi"/>
                <w:sz w:val="20"/>
              </w:rPr>
              <w:lastRenderedPageBreak/>
              <w:t>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58589647" w14:textId="6CADC20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 xml:space="preserve">Počet užívateľov, ktorí môžu používať nové alebo zlepšené zariadenia základných škôl. "Užívatelia" v tomto kontexte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sú deti, nie učitelia, rodičia alebo iné osoby, ktoré môžu používať príslušné zariadenia. Ukazovateľ meria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počet možných užívateľov, ktorý je zvyčajne vyšší alebo sa rovná počtu skutočných užívateľov). Ukazovateľ sa vypočíta ako súčet počtu "užívateľov" podporenej vzdelávacej infraštruktúry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dôsledku realizácie projektu.</w:t>
            </w:r>
          </w:p>
        </w:tc>
        <w:tc>
          <w:tcPr>
            <w:tcW w:w="1058" w:type="dxa"/>
            <w:shd w:val="clear" w:color="auto" w:fill="FFFFFF" w:themeFill="background1"/>
          </w:tcPr>
          <w:p w14:paraId="598A0CDD" w14:textId="3A1F189E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201C69C8" w14:textId="7705ECE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prác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7D12DBEB" w14:textId="55BF9101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78BC466" w14:textId="23EDBA97" w:rsidR="0086371B" w:rsidRPr="008C0112" w:rsidRDefault="005664F6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5664F6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BA595A" w:rsidRPr="00BA595A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="00BA595A"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shd w:val="clear" w:color="auto" w:fill="FFFFFF" w:themeFill="background1"/>
          </w:tcPr>
          <w:p w14:paraId="27FA6AFA" w14:textId="5B7BDDE0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729CC6A6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B1BB25F" w14:textId="34AE24CC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66" w:type="dxa"/>
            <w:shd w:val="clear" w:color="auto" w:fill="FFFFFF" w:themeFill="background1"/>
          </w:tcPr>
          <w:p w14:paraId="0096CC6B" w14:textId="12A8F454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342CD98C" w14:textId="1D67327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Zvýšená celková kapacita základnej školy, 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rozdiel kapacity zariadenia pred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realizáciou projektu a po realizácii projektu. Kapacita predstavuje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počet možných žiakov, ktorí môžu využívať základnú školu).</w:t>
            </w:r>
          </w:p>
        </w:tc>
        <w:tc>
          <w:tcPr>
            <w:tcW w:w="1058" w:type="dxa"/>
            <w:shd w:val="clear" w:color="auto" w:fill="FFFFFF" w:themeFill="background1"/>
          </w:tcPr>
          <w:p w14:paraId="37A29DF0" w14:textId="403E8D3D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7491C981" w14:textId="62EB523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17EC3CC5" w14:textId="50C5BD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CE4226A" w14:textId="73537F17" w:rsidR="0086371B" w:rsidRPr="008C0112" w:rsidRDefault="005664F6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5664F6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BA595A" w:rsidRPr="00BA595A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="00BA595A" w:rsidRPr="00BA595A" w:rsidDel="00BA595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9" w:type="dxa"/>
            <w:shd w:val="clear" w:color="auto" w:fill="FFFFFF" w:themeFill="background1"/>
          </w:tcPr>
          <w:p w14:paraId="370915F9" w14:textId="16296896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áno v prípade, ak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vedie k zvýšeniu kapacity základných škôl</w:t>
            </w:r>
          </w:p>
        </w:tc>
      </w:tr>
    </w:tbl>
    <w:p w14:paraId="65B9520D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18DAD0B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14:paraId="03343D31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061C2B24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01AFA940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24D977D" w14:textId="77777777" w:rsidR="002E59BB" w:rsidRDefault="002E59BB" w:rsidP="008A7551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BF2874">
      <w:pPr>
        <w:rPr>
          <w:rFonts w:asciiTheme="minorHAnsi" w:hAnsiTheme="minorHAnsi"/>
        </w:rPr>
      </w:pPr>
    </w:p>
    <w:sectPr w:rsidR="005E6B6E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F0758" w14:textId="77777777" w:rsidR="008718D1" w:rsidRDefault="008718D1">
      <w:r>
        <w:separator/>
      </w:r>
    </w:p>
  </w:endnote>
  <w:endnote w:type="continuationSeparator" w:id="0">
    <w:p w14:paraId="765CB3C1" w14:textId="77777777" w:rsidR="008718D1" w:rsidRDefault="008718D1">
      <w:r>
        <w:continuationSeparator/>
      </w:r>
    </w:p>
  </w:endnote>
  <w:endnote w:type="continuationNotice" w:id="1">
    <w:p w14:paraId="1EC116CC" w14:textId="77777777" w:rsidR="008718D1" w:rsidRDefault="00871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D58A" w14:textId="77777777" w:rsidR="00F83DC6" w:rsidRDefault="00F83D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E664" w14:textId="77777777" w:rsidR="00F83DC6" w:rsidRDefault="00F83DC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520E" w14:textId="77777777" w:rsidR="00F83DC6" w:rsidRDefault="00F83D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A875" w14:textId="77777777" w:rsidR="008718D1" w:rsidRDefault="008718D1">
      <w:r>
        <w:separator/>
      </w:r>
    </w:p>
  </w:footnote>
  <w:footnote w:type="continuationSeparator" w:id="0">
    <w:p w14:paraId="01C533DE" w14:textId="77777777" w:rsidR="008718D1" w:rsidRDefault="008718D1">
      <w:r>
        <w:continuationSeparator/>
      </w:r>
    </w:p>
  </w:footnote>
  <w:footnote w:type="continuationNotice" w:id="1">
    <w:p w14:paraId="5464480F" w14:textId="77777777" w:rsidR="008718D1" w:rsidRDefault="008718D1"/>
  </w:footnote>
  <w:footnote w:id="2">
    <w:p w14:paraId="30E5AB95" w14:textId="77777777" w:rsidR="008718D1" w:rsidRPr="001A6EA1" w:rsidRDefault="008718D1" w:rsidP="008A755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5F44A58" w14:textId="77777777" w:rsidR="008718D1" w:rsidRPr="001A6EA1" w:rsidRDefault="008718D1" w:rsidP="008A755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3F6A0" w14:textId="77777777" w:rsidR="00F83DC6" w:rsidRDefault="00F83D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735B7" w14:textId="77777777" w:rsidR="00F83DC6" w:rsidRDefault="00F83DC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A6F9F" w14:textId="77777777" w:rsidR="001B26E4" w:rsidRPr="001F013A" w:rsidRDefault="001B26E4" w:rsidP="001B26E4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6944" behindDoc="1" locked="0" layoutInCell="1" allowOverlap="1" wp14:anchorId="1A38E029" wp14:editId="53877445">
          <wp:simplePos x="0" y="0"/>
          <wp:positionH relativeFrom="column">
            <wp:posOffset>4806315</wp:posOffset>
          </wp:positionH>
          <wp:positionV relativeFrom="paragraph">
            <wp:posOffset>-33448</wp:posOffset>
          </wp:positionV>
          <wp:extent cx="1314450" cy="301845"/>
          <wp:effectExtent l="0" t="0" r="0" b="3175"/>
          <wp:wrapNone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71D49D21" wp14:editId="049CE6D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968" behindDoc="1" locked="0" layoutInCell="1" allowOverlap="1" wp14:anchorId="124F7BBA" wp14:editId="0E4A50F6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4109E4B" wp14:editId="1C95948A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49D5DD8" w14:textId="77777777" w:rsidR="001B26E4" w:rsidRPr="00CC6608" w:rsidRDefault="001B26E4" w:rsidP="001B26E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05DA3">
                            <w:rPr>
                              <w:noProof/>
                            </w:rPr>
                            <w:drawing>
                              <wp:inline distT="0" distB="0" distL="0" distR="0" wp14:anchorId="215AA1E2" wp14:editId="2D0111F3">
                                <wp:extent cx="647808" cy="400050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9921" cy="40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109E4B" id="Zaoblený obdĺžnik 15" o:spid="_x0000_s1026" style="position:absolute;left:0;text-align:left;margin-left:7.15pt;margin-top:-7.65pt;width:78.75pt;height:37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" filled="f" strokecolor="windowText" strokeweight=".25pt">
              <v:textbox>
                <w:txbxContent>
                  <w:p w14:paraId="449D5DD8" w14:textId="77777777" w:rsidR="001B26E4" w:rsidRPr="00CC6608" w:rsidRDefault="001B26E4" w:rsidP="001B26E4">
                    <w:pPr>
                      <w:jc w:val="center"/>
                      <w:rPr>
                        <w:color w:val="000000" w:themeColor="text1"/>
                      </w:rPr>
                    </w:pPr>
                    <w:r w:rsidRPr="00505DA3">
                      <w:rPr>
                        <w:noProof/>
                      </w:rPr>
                      <w:drawing>
                        <wp:inline distT="0" distB="0" distL="0" distR="0" wp14:anchorId="215AA1E2" wp14:editId="2D0111F3">
                          <wp:extent cx="647808" cy="400050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9921" cy="40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6E4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0A9E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0A7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64F6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957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6C9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049F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595A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2874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3DC6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6CCAB28A9D436D879A8C3504C09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8F669-0F0A-4054-9F72-80F2BFC07175}"/>
      </w:docPartPr>
      <w:docPartBody>
        <w:p w:rsidR="00D44CE6" w:rsidRDefault="00D44CE6" w:rsidP="00D44CE6">
          <w:pPr>
            <w:pStyle w:val="616CCAB28A9D436D879A8C3504C090C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FE72F12B2FE4AE385C9DC36D2326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01FD2-403C-403F-B9E0-4F0CEB866501}"/>
      </w:docPartPr>
      <w:docPartBody>
        <w:p w:rsidR="00D44CE6" w:rsidRDefault="00D44CE6" w:rsidP="00D44CE6">
          <w:pPr>
            <w:pStyle w:val="2FE72F12B2FE4AE385C9DC36D2326E5D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287F-DC20-4244-8557-8F534CCF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2020-10-21T12:44:00Z</dcterms:modified>
</cp:coreProperties>
</file>