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E286E1" w14:textId="77777777" w:rsidR="003A117C" w:rsidRPr="00BF2874" w:rsidRDefault="003A117C" w:rsidP="003A117C">
      <w:pPr>
        <w:jc w:val="right"/>
        <w:rPr>
          <w:rFonts w:asciiTheme="minorHAnsi" w:hAnsiTheme="minorHAnsi"/>
          <w:i/>
          <w:sz w:val="24"/>
          <w:szCs w:val="22"/>
          <w:highlight w:val="yellow"/>
        </w:rPr>
      </w:pPr>
      <w:r w:rsidRPr="00BF2874">
        <w:rPr>
          <w:rFonts w:ascii="Arial Narrow" w:hAnsi="Arial Narrow"/>
          <w:i/>
          <w:sz w:val="20"/>
          <w:szCs w:val="18"/>
        </w:rPr>
        <w:t>Príloha č. 3  výzvy – Zoznam povinných merateľných ukazovateľov projektu</w:t>
      </w:r>
    </w:p>
    <w:p w14:paraId="56D09D9F" w14:textId="485FDF1E" w:rsidR="00774E93" w:rsidRDefault="00774E93" w:rsidP="00774E93">
      <w:pPr>
        <w:rPr>
          <w:rFonts w:asciiTheme="minorHAnsi" w:hAnsiTheme="minorHAnsi"/>
          <w:i/>
          <w:highlight w:val="yellow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1"/>
        <w:gridCol w:w="1848"/>
        <w:gridCol w:w="4892"/>
        <w:gridCol w:w="1056"/>
        <w:gridCol w:w="1677"/>
        <w:gridCol w:w="1214"/>
        <w:gridCol w:w="1279"/>
        <w:gridCol w:w="1574"/>
      </w:tblGrid>
      <w:tr w:rsidR="00AE2E10" w:rsidRPr="00A42D69" w14:paraId="4322B1BE" w14:textId="77777777" w:rsidTr="008718D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6390C000" w14:textId="77777777" w:rsidR="00AE2E10" w:rsidRPr="00A42D69" w:rsidRDefault="00AE2E10" w:rsidP="008718D1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A42D69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AE2E10" w:rsidRPr="00A42D69" w14:paraId="2A57257C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5099586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7BBA04CD" w14:textId="77777777" w:rsidR="00AE2E10" w:rsidRPr="00264E75" w:rsidRDefault="00E568DD" w:rsidP="008718D1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7014639"/>
                <w:placeholder>
                  <w:docPart w:val="67756D3D774E4908869E335FE7341BEC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AE2E10" w:rsidRPr="00A42D69" w14:paraId="6507998D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C45C702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4BF08413" w14:textId="4E4FBDA5" w:rsidR="00AE2E10" w:rsidRPr="00A42D69" w:rsidRDefault="004F21E6" w:rsidP="008718D1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i/>
              </w:rPr>
              <w:t>Ipeľská Kotlina - Novohrad</w:t>
            </w:r>
          </w:p>
        </w:tc>
      </w:tr>
      <w:tr w:rsidR="00AE2E10" w:rsidRPr="00A42D69" w14:paraId="5BBAC9B3" w14:textId="77777777" w:rsidTr="008718D1">
        <w:tc>
          <w:tcPr>
            <w:tcW w:w="3159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F9AAF74" w14:textId="77777777" w:rsidR="00AE2E10" w:rsidRPr="00C63419" w:rsidRDefault="00AE2E10" w:rsidP="008718D1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C63419">
              <w:rPr>
                <w:rFonts w:asciiTheme="minorHAnsi" w:hAnsiTheme="minorHAnsi"/>
                <w:b/>
                <w:szCs w:val="22"/>
              </w:rPr>
              <w:t>Hlavná aktivita projektu</w: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begin"/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</w:r>
            <w:r w:rsidRPr="00C63419">
              <w:rPr>
                <w:rFonts w:asciiTheme="minorHAnsi" w:hAnsiTheme="min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92" w:type="dxa"/>
            <w:gridSpan w:val="6"/>
            <w:tcBorders>
              <w:bottom w:val="single" w:sz="4" w:space="0" w:color="auto"/>
            </w:tcBorders>
          </w:tcPr>
          <w:p w14:paraId="1C49F14D" w14:textId="2912579B" w:rsidR="00AE2E10" w:rsidRPr="00A42D69" w:rsidRDefault="00E568DD" w:rsidP="008718D1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525711832"/>
                <w:placeholder>
                  <w:docPart w:val="0488DB5F7940470DA9E555BA8AC7593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AE2E10">
                  <w:rPr>
                    <w:rFonts w:asciiTheme="minorHAnsi" w:hAnsiTheme="minorHAnsi" w:cs="Arial"/>
                    <w:sz w:val="20"/>
                  </w:rPr>
                  <w:t>E1 Trhové priestory</w:t>
                </w:r>
              </w:sdtContent>
            </w:sdt>
          </w:p>
        </w:tc>
      </w:tr>
      <w:tr w:rsidR="00AE2E10" w:rsidRPr="00A42D69" w14:paraId="6DC8992A" w14:textId="77777777" w:rsidTr="008718D1">
        <w:tc>
          <w:tcPr>
            <w:tcW w:w="131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7D8B0BF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014543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2ECAE5D2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8DF71E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213867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87DBBEE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3A9F84AF" w14:textId="77777777" w:rsidR="00AE2E10" w:rsidRPr="00A42D69" w:rsidRDefault="00AE2E10" w:rsidP="008718D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4B204A5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>Príznak rizika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C68E3F8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A42D69">
              <w:rPr>
                <w:rFonts w:asciiTheme="minorHAnsi" w:hAnsiTheme="minorHAnsi"/>
                <w:szCs w:val="22"/>
              </w:rPr>
              <w:t xml:space="preserve">Relevancia </w:t>
            </w:r>
            <w:r w:rsidRPr="00A42D69">
              <w:rPr>
                <w:rFonts w:asciiTheme="minorHAnsi" w:hAnsiTheme="minorHAnsi"/>
                <w:szCs w:val="22"/>
              </w:rPr>
              <w:br/>
              <w:t>k HP</w:t>
            </w:r>
            <w:r>
              <w:rPr>
                <w:rFonts w:asciiTheme="minorHAnsi" w:hAnsiTheme="minorHAnsi"/>
                <w:szCs w:val="22"/>
              </w:rPr>
              <w:t xml:space="preserve"> (UR, </w:t>
            </w:r>
            <w:proofErr w:type="spellStart"/>
            <w:r>
              <w:rPr>
                <w:rFonts w:asciiTheme="minorHAnsi" w:hAnsiTheme="minorHAnsi"/>
                <w:szCs w:val="22"/>
              </w:rPr>
              <w:t>RMŽaND</w:t>
            </w:r>
            <w:proofErr w:type="spellEnd"/>
            <w:r>
              <w:rPr>
                <w:rFonts w:asciiTheme="minorHAnsi" w:hAnsiTheme="minorHAnsi"/>
                <w:szCs w:val="22"/>
              </w:rPr>
              <w:t>. N/A)</w:t>
            </w:r>
            <w:r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2EFE5326" w14:textId="77777777" w:rsidR="00AE2E10" w:rsidRPr="00A42D69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AE2E10" w:rsidRPr="009365C4" w14:paraId="4F3A4F73" w14:textId="77777777" w:rsidTr="008718D1">
        <w:trPr>
          <w:trHeight w:val="548"/>
        </w:trPr>
        <w:tc>
          <w:tcPr>
            <w:tcW w:w="131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A8E196" w14:textId="4C2DEA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E101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0E2FEC0" w14:textId="1D1427C2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Počet novovybudovaných, zrekonštruovaných alebo modernizovaných mestských a obecných trhových priestorov</w:t>
            </w:r>
          </w:p>
        </w:tc>
        <w:tc>
          <w:tcPr>
            <w:tcW w:w="489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53DB9F" w14:textId="0BB0354E" w:rsidR="00AE2E10" w:rsidRPr="009365C4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Počet novovybudovaných, zrekonštruovaných alebo modernizovaných mestských a obecných trhových priestorov v rámci projektu. Trhovým priestorom sa myslí celkový priestor označený ako trhovisko,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priestor do ktorého spadajú všetky obchodné miesta podľa organizačného poriadku trhoviska (napr. obchodné priestory, stánky, stojiská, resp. pulty a pod.).</w:t>
            </w:r>
          </w:p>
        </w:tc>
        <w:tc>
          <w:tcPr>
            <w:tcW w:w="105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1D54BB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4847F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6FE0495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029BE6" w14:textId="4D1811C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123A33F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AE2E10" w:rsidRPr="009365C4" w14:paraId="427582BB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0B06C506" w14:textId="1DBA0DAB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848" w:type="dxa"/>
            <w:shd w:val="clear" w:color="auto" w:fill="FFFFFF" w:themeFill="background1"/>
          </w:tcPr>
          <w:p w14:paraId="1DC138BF" w14:textId="3DE3CCE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Kapacita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18AAA864" w14:textId="10F3B08E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 xml:space="preserve">. počet obchodných miest podľa organizačného poriadku trhoviska (napr. obchodné </w:t>
            </w:r>
            <w:r w:rsidRPr="00B93001">
              <w:rPr>
                <w:rFonts w:asciiTheme="minorHAnsi" w:hAnsiTheme="minorHAnsi"/>
                <w:sz w:val="20"/>
              </w:rPr>
              <w:lastRenderedPageBreak/>
              <w:t>priestory, stánky, stojiská, pulty a pod.).</w:t>
            </w:r>
          </w:p>
        </w:tc>
        <w:tc>
          <w:tcPr>
            <w:tcW w:w="1056" w:type="dxa"/>
            <w:shd w:val="clear" w:color="auto" w:fill="FFFFFF" w:themeFill="background1"/>
          </w:tcPr>
          <w:p w14:paraId="660AD6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48C93700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 xml:space="preserve">k dátumu ukončenia prác </w:t>
            </w:r>
            <w:r w:rsidRPr="0086371B">
              <w:rPr>
                <w:rFonts w:asciiTheme="minorHAnsi" w:hAnsiTheme="minorHAnsi"/>
                <w:sz w:val="20"/>
              </w:rPr>
              <w:lastRenderedPageBreak/>
              <w:t>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6A4FE339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lastRenderedPageBreak/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15CCF4F3" w14:textId="64B560F1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72DDCFB0" w14:textId="5CA21B80" w:rsidR="00AE2E10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 xml:space="preserve">áno </w:t>
            </w:r>
          </w:p>
        </w:tc>
      </w:tr>
      <w:tr w:rsidR="00AE2E10" w:rsidRPr="009365C4" w14:paraId="2C182DCF" w14:textId="77777777" w:rsidTr="008718D1">
        <w:trPr>
          <w:trHeight w:val="548"/>
        </w:trPr>
        <w:tc>
          <w:tcPr>
            <w:tcW w:w="1311" w:type="dxa"/>
            <w:shd w:val="clear" w:color="auto" w:fill="FFFFFF" w:themeFill="background1"/>
          </w:tcPr>
          <w:p w14:paraId="31251A13" w14:textId="2C54BCB8" w:rsidR="00AE2E10" w:rsidRPr="008F43B6" w:rsidRDefault="00B93001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E10</w:t>
            </w: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848" w:type="dxa"/>
            <w:shd w:val="clear" w:color="auto" w:fill="FFFFFF" w:themeFill="background1"/>
          </w:tcPr>
          <w:p w14:paraId="77661215" w14:textId="21DAA96A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Zvýšenie kapacity trhoviska.</w:t>
            </w:r>
          </w:p>
        </w:tc>
        <w:tc>
          <w:tcPr>
            <w:tcW w:w="4892" w:type="dxa"/>
            <w:shd w:val="clear" w:color="auto" w:fill="FFFFFF" w:themeFill="background1"/>
          </w:tcPr>
          <w:p w14:paraId="21D09EE6" w14:textId="35CE7B9D" w:rsidR="00AE2E10" w:rsidRPr="008C0112" w:rsidRDefault="00B93001" w:rsidP="008718D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 xml:space="preserve">Zvýšená celková kapacita trhoviska, </w:t>
            </w:r>
            <w:proofErr w:type="spellStart"/>
            <w:r w:rsidRPr="00B93001">
              <w:rPr>
                <w:rFonts w:asciiTheme="minorHAnsi" w:hAnsiTheme="minorHAnsi"/>
                <w:sz w:val="20"/>
              </w:rPr>
              <w:t>t.j</w:t>
            </w:r>
            <w:proofErr w:type="spellEnd"/>
            <w:r w:rsidRPr="00B93001">
              <w:rPr>
                <w:rFonts w:asciiTheme="minorHAnsi" w:hAnsiTheme="minorHAnsi"/>
                <w:sz w:val="20"/>
              </w:rPr>
              <w:t>. počet obchodných miest podľa organizačného poriadku trhoviska (napr. obchodné priestory, stánky, stojiská, pulty a pod.), ktoré pribudli v dôsledku realizácie projektu.</w:t>
            </w:r>
          </w:p>
        </w:tc>
        <w:tc>
          <w:tcPr>
            <w:tcW w:w="1056" w:type="dxa"/>
            <w:shd w:val="clear" w:color="auto" w:fill="FFFFFF" w:themeFill="background1"/>
          </w:tcPr>
          <w:p w14:paraId="5B6CAD5A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774E93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677" w:type="dxa"/>
            <w:shd w:val="clear" w:color="auto" w:fill="FFFFFF" w:themeFill="background1"/>
          </w:tcPr>
          <w:p w14:paraId="734340B1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k dátumu ukončenia prác na projekte</w:t>
            </w:r>
          </w:p>
        </w:tc>
        <w:tc>
          <w:tcPr>
            <w:tcW w:w="1214" w:type="dxa"/>
            <w:shd w:val="clear" w:color="auto" w:fill="FFFFFF" w:themeFill="background1"/>
          </w:tcPr>
          <w:p w14:paraId="7615AED3" w14:textId="77777777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38E0BD7A" w14:textId="2A276349" w:rsidR="00AE2E10" w:rsidRPr="008C0112" w:rsidRDefault="00AE2E10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86371B">
              <w:rPr>
                <w:rFonts w:asciiTheme="minorHAnsi" w:hAnsiTheme="minorHAnsi"/>
                <w:sz w:val="20"/>
              </w:rPr>
              <w:t>UR</w:t>
            </w:r>
          </w:p>
        </w:tc>
        <w:tc>
          <w:tcPr>
            <w:tcW w:w="1574" w:type="dxa"/>
            <w:shd w:val="clear" w:color="auto" w:fill="FFFFFF" w:themeFill="background1"/>
          </w:tcPr>
          <w:p w14:paraId="20D1CFA8" w14:textId="473B8D3C" w:rsidR="00AE2E10" w:rsidRDefault="00B93001" w:rsidP="008718D1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B93001">
              <w:rPr>
                <w:rFonts w:asciiTheme="minorHAnsi" w:hAnsiTheme="minorHAnsi"/>
                <w:sz w:val="20"/>
              </w:rPr>
              <w:t>áno - v prípade ak realizácia projektu vedie k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B93001">
              <w:rPr>
                <w:rFonts w:asciiTheme="minorHAnsi" w:hAnsiTheme="minorHAnsi"/>
                <w:sz w:val="20"/>
              </w:rPr>
              <w:t>zvýšeniu kapacity</w:t>
            </w:r>
            <w:r>
              <w:rPr>
                <w:rFonts w:asciiTheme="minorHAnsi" w:hAnsiTheme="minorHAnsi"/>
                <w:sz w:val="20"/>
              </w:rPr>
              <w:t xml:space="preserve"> trhoviska</w:t>
            </w:r>
          </w:p>
        </w:tc>
      </w:tr>
    </w:tbl>
    <w:p w14:paraId="1A1AA9C5" w14:textId="77777777" w:rsidR="00AE2E10" w:rsidRDefault="00AE2E10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3E24B4DB" w14:textId="7C57DED9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Žiadateľ je</w:t>
      </w:r>
      <w:r w:rsidRPr="00A42D69">
        <w:rPr>
          <w:rFonts w:asciiTheme="minorHAnsi" w:hAnsiTheme="minorHAnsi"/>
        </w:rPr>
        <w:t xml:space="preserve"> povinný stanoviť „nenulovú“ cieľovú hodnotu pre tie merateľné ukazovatele projektu, ktoré majú byť realizáciou navrhovaných aktivít dosiahnuté</w:t>
      </w:r>
      <w:r>
        <w:rPr>
          <w:rFonts w:asciiTheme="minorHAnsi" w:hAnsiTheme="minorHAnsi"/>
        </w:rPr>
        <w:t xml:space="preserve">. Žiadateľ je povinný stanoviť „nenulovú“ cieľovú hodnotu pre povinné merateľné ukazovatele, </w:t>
      </w:r>
      <w:proofErr w:type="spellStart"/>
      <w:r>
        <w:rPr>
          <w:rFonts w:asciiTheme="minorHAnsi" w:hAnsiTheme="minorHAnsi"/>
        </w:rPr>
        <w:t>t.j</w:t>
      </w:r>
      <w:proofErr w:type="spellEnd"/>
      <w:r>
        <w:rPr>
          <w:rFonts w:asciiTheme="minorHAnsi" w:hAnsiTheme="minorHAnsi"/>
        </w:rPr>
        <w:t>. ukazovatele označené ako „áno“ bez d</w:t>
      </w:r>
      <w:r w:rsidR="00FC4D5E">
        <w:rPr>
          <w:rFonts w:asciiTheme="minorHAnsi" w:hAnsiTheme="minorHAnsi"/>
        </w:rPr>
        <w:t>ô</w:t>
      </w:r>
      <w:r>
        <w:rPr>
          <w:rFonts w:asciiTheme="minorHAnsi" w:hAnsiTheme="minorHAnsi"/>
        </w:rPr>
        <w:t>vetku.</w:t>
      </w:r>
    </w:p>
    <w:p w14:paraId="213B074F" w14:textId="77777777" w:rsidR="002E59BB" w:rsidRPr="00A42D69" w:rsidRDefault="002E59BB" w:rsidP="002E59BB">
      <w:pPr>
        <w:ind w:left="-426" w:right="-31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Projekt bez príspevku k naplneniu povinných merateľných ukazovateľov nebude schválený.</w:t>
      </w:r>
    </w:p>
    <w:p w14:paraId="70941BB1" w14:textId="77777777" w:rsidR="002E59BB" w:rsidRPr="001A6EA1" w:rsidRDefault="002E59BB" w:rsidP="002E59BB">
      <w:pPr>
        <w:ind w:left="-426" w:right="-312"/>
        <w:jc w:val="both"/>
        <w:rPr>
          <w:rFonts w:asciiTheme="minorHAnsi" w:hAnsiTheme="minorHAnsi"/>
        </w:rPr>
      </w:pPr>
    </w:p>
    <w:p w14:paraId="7CF745C4" w14:textId="520D2E55" w:rsidR="002E59BB" w:rsidRDefault="002E59BB" w:rsidP="002E59BB">
      <w:pPr>
        <w:ind w:left="-426" w:right="-312"/>
        <w:jc w:val="both"/>
        <w:rPr>
          <w:rFonts w:asciiTheme="minorHAnsi" w:hAnsiTheme="minorHAnsi"/>
        </w:rPr>
      </w:pPr>
      <w:r w:rsidRPr="001A6EA1">
        <w:rPr>
          <w:rFonts w:asciiTheme="minorHAnsi" w:hAnsiTheme="minorHAnsi"/>
          <w:b/>
        </w:rPr>
        <w:t>Upozornenie:</w:t>
      </w:r>
      <w:r w:rsidRPr="001A6EA1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</w:t>
      </w:r>
      <w:r>
        <w:rPr>
          <w:rFonts w:asciiTheme="minorHAnsi" w:hAnsiTheme="minorHAnsi"/>
        </w:rPr>
        <w:t xml:space="preserve"> zmluve o príspevku </w:t>
      </w:r>
      <w:r w:rsidRPr="001A6EA1">
        <w:rPr>
          <w:rFonts w:asciiTheme="minorHAnsi" w:hAnsiTheme="minorHAnsi"/>
        </w:rPr>
        <w:t>vo vzťahu k miere skutočného plnenia cieľových hodnôt merateľných ukazovateľov.</w:t>
      </w:r>
      <w:r>
        <w:rPr>
          <w:rFonts w:asciiTheme="minorHAnsi" w:hAnsiTheme="minorHAnsi"/>
        </w:rPr>
        <w:t xml:space="preserve"> V prípade odchýlky, ktor</w:t>
      </w:r>
      <w:r w:rsidR="00FC4D5E">
        <w:rPr>
          <w:rFonts w:asciiTheme="minorHAnsi" w:hAnsiTheme="minorHAnsi"/>
        </w:rPr>
        <w:t>á</w:t>
      </w:r>
      <w:r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</w:t>
      </w:r>
      <w:r w:rsidR="00FC4D5E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bude výška príspevku skrátená v zodpovedajúcej výške.</w:t>
      </w:r>
    </w:p>
    <w:p w14:paraId="59834258" w14:textId="77777777" w:rsidR="002E59BB" w:rsidRDefault="002E59BB" w:rsidP="00AE2E10">
      <w:pPr>
        <w:ind w:left="-426"/>
        <w:jc w:val="both"/>
        <w:rPr>
          <w:rFonts w:asciiTheme="minorHAnsi" w:hAnsiTheme="minorHAnsi"/>
          <w:i/>
          <w:highlight w:val="yellow"/>
        </w:rPr>
      </w:pPr>
    </w:p>
    <w:p w14:paraId="2C709BBE" w14:textId="77777777" w:rsidR="005E6B6E" w:rsidRPr="00CF14C5" w:rsidRDefault="005E6B6E" w:rsidP="00CF14C5">
      <w:pPr>
        <w:ind w:left="-426"/>
        <w:jc w:val="both"/>
        <w:rPr>
          <w:rFonts w:asciiTheme="minorHAnsi" w:hAnsiTheme="minorHAnsi"/>
        </w:rPr>
      </w:pPr>
    </w:p>
    <w:sectPr w:rsidR="005E6B6E" w:rsidRPr="00CF14C5" w:rsidSect="005E6B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75FE9" w14:textId="77777777" w:rsidR="00566468" w:rsidRDefault="00566468">
      <w:r>
        <w:separator/>
      </w:r>
    </w:p>
  </w:endnote>
  <w:endnote w:type="continuationSeparator" w:id="0">
    <w:p w14:paraId="0AD4A3C1" w14:textId="77777777" w:rsidR="00566468" w:rsidRDefault="00566468">
      <w:r>
        <w:continuationSeparator/>
      </w:r>
    </w:p>
  </w:endnote>
  <w:endnote w:type="continuationNotice" w:id="1">
    <w:p w14:paraId="436056EC" w14:textId="77777777" w:rsidR="00566468" w:rsidRDefault="005664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062EC" w14:textId="77777777" w:rsidR="00E568DD" w:rsidRDefault="00E568D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DBCC" w14:textId="77777777" w:rsidR="00E568DD" w:rsidRDefault="00E568D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14925" w14:textId="77777777" w:rsidR="00E568DD" w:rsidRDefault="00E568D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74A93B" w14:textId="77777777" w:rsidR="00566468" w:rsidRDefault="00566468">
      <w:r>
        <w:separator/>
      </w:r>
    </w:p>
  </w:footnote>
  <w:footnote w:type="continuationSeparator" w:id="0">
    <w:p w14:paraId="0E8EC74D" w14:textId="77777777" w:rsidR="00566468" w:rsidRDefault="00566468">
      <w:r>
        <w:continuationSeparator/>
      </w:r>
    </w:p>
  </w:footnote>
  <w:footnote w:type="continuationNotice" w:id="1">
    <w:p w14:paraId="5DE25FB9" w14:textId="77777777" w:rsidR="00566468" w:rsidRDefault="00566468"/>
  </w:footnote>
  <w:footnote w:id="2">
    <w:p w14:paraId="1DA05A79" w14:textId="77777777" w:rsidR="008718D1" w:rsidRPr="001A6EA1" w:rsidRDefault="008718D1" w:rsidP="00C63029">
      <w:pPr>
        <w:pStyle w:val="Textpoznmkypodiarou"/>
        <w:ind w:right="-312" w:hanging="284"/>
        <w:jc w:val="both"/>
        <w:rPr>
          <w:rFonts w:asciiTheme="minorHAnsi" w:hAnsiTheme="minorHAnsi"/>
        </w:rPr>
      </w:pPr>
      <w:r w:rsidRPr="00C63029">
        <w:rPr>
          <w:rStyle w:val="Odkaznapoznmkupodiarou"/>
          <w:rFonts w:asciiTheme="minorHAnsi" w:hAnsiTheme="minorHAnsi"/>
        </w:rPr>
        <w:footnoteRef/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C63029">
        <w:rPr>
          <w:rFonts w:asciiTheme="minorHAnsi" w:hAnsiTheme="minorHAnsi"/>
        </w:rPr>
        <w:tab/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Merateľný ukazovateľ projektu s príznakom je taký, v prípade ktorého môže byť naplnenie cieľovej hodnoty ohrozené skutočnosťami objektívne neovplyvniteľnými užívateľom. Je žiadúce, aby užívateľ v rámci </w:t>
      </w:r>
      <w:r w:rsidRPr="00C63029">
        <w:rPr>
          <w:rFonts w:asciiTheme="minorHAnsi" w:hAnsiTheme="minorHAnsi"/>
        </w:rPr>
        <w:t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V ŽoPr uvedie užívateľ tieto riziká v časti</w:t>
      </w:r>
      <w:r w:rsidRPr="00C63029">
        <w:rPr>
          <w:rStyle w:val="Odkaznapoznmkupodiarou"/>
          <w:rFonts w:asciiTheme="minorHAnsi" w:hAnsiTheme="minorHAnsi"/>
          <w:vertAlign w:val="baseline"/>
        </w:rPr>
        <w:t xml:space="preserve"> </w:t>
      </w:r>
      <w:r w:rsidRPr="00C63029">
        <w:rPr>
          <w:rFonts w:asciiTheme="minorHAnsi" w:hAnsiTheme="minorHAnsi"/>
        </w:rPr>
        <w:t>„Id</w:t>
      </w:r>
      <w:r w:rsidRPr="00C63029">
        <w:rPr>
          <w:rStyle w:val="Odkaznapoznmkupodiarou"/>
          <w:rFonts w:asciiTheme="minorHAnsi" w:hAnsiTheme="minorHAnsi"/>
          <w:vertAlign w:val="baseline"/>
        </w:rPr>
        <w:t>entifikácia rizík a prostriedky na ich elimináciu“.</w:t>
      </w:r>
      <w:r w:rsidRPr="00966A77">
        <w:rPr>
          <w:rFonts w:asciiTheme="minorHAnsi" w:hAnsiTheme="minorHAnsi"/>
        </w:rPr>
        <w:t xml:space="preserve"> 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2BBB86C3" w14:textId="77777777" w:rsidR="008718D1" w:rsidRPr="001A6EA1" w:rsidRDefault="008718D1" w:rsidP="00AE2E10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9F872" w14:textId="77777777" w:rsidR="00E568DD" w:rsidRDefault="00E568D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50CAB" w14:textId="77777777" w:rsidR="00E568DD" w:rsidRDefault="00E568D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A8CE4" w14:textId="77777777" w:rsidR="003A117C" w:rsidRPr="001F013A" w:rsidRDefault="003A117C" w:rsidP="003A117C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6944" behindDoc="1" locked="0" layoutInCell="1" allowOverlap="1" wp14:anchorId="0B4861E4" wp14:editId="30CD36B0">
          <wp:simplePos x="0" y="0"/>
          <wp:positionH relativeFrom="column">
            <wp:posOffset>4587240</wp:posOffset>
          </wp:positionH>
          <wp:positionV relativeFrom="paragraph">
            <wp:posOffset>-101599</wp:posOffset>
          </wp:positionV>
          <wp:extent cx="1532567" cy="368300"/>
          <wp:effectExtent l="0" t="0" r="0" b="0"/>
          <wp:wrapNone/>
          <wp:docPr id="11" name="Obrázok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ázo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36003" cy="3691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920" behindDoc="1" locked="0" layoutInCell="1" allowOverlap="1" wp14:anchorId="193C9FC1" wp14:editId="45C96B95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1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968" behindDoc="1" locked="0" layoutInCell="1" allowOverlap="1" wp14:anchorId="5B30FD02" wp14:editId="01671351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A5CB8E1" wp14:editId="022D8143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28575" b="19050"/>
              <wp:wrapNone/>
              <wp:docPr id="4" name="Zaoblený obdĺž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024BC26F" w14:textId="77777777" w:rsidR="003A117C" w:rsidRPr="00CC6608" w:rsidRDefault="003A117C" w:rsidP="003A117C">
                          <w:pPr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505DA3">
                            <w:rPr>
                              <w:noProof/>
                              <w:lang w:eastAsia="sk-SK"/>
                            </w:rPr>
                            <w:drawing>
                              <wp:inline distT="0" distB="0" distL="0" distR="0" wp14:anchorId="477D5049" wp14:editId="2D7DED04">
                                <wp:extent cx="647808" cy="40005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49921" cy="401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6A5CB8E1" id="Zaoblený obdĺžnik 15" o:spid="_x0000_s1026" style="position:absolute;left:0;text-align:left;margin-left:7.15pt;margin-top:-7.65pt;width:78.75pt;height:37.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" filled="f" strokecolor="windowText" strokeweight=".25pt">
              <v:textbox>
                <w:txbxContent>
                  <w:p w14:paraId="024BC26F" w14:textId="77777777" w:rsidR="003A117C" w:rsidRPr="00CC6608" w:rsidRDefault="003A117C" w:rsidP="003A117C">
                    <w:pPr>
                      <w:jc w:val="center"/>
                      <w:rPr>
                        <w:color w:val="000000" w:themeColor="text1"/>
                      </w:rPr>
                    </w:pPr>
                    <w:r w:rsidRPr="00505DA3">
                      <w:rPr>
                        <w:noProof/>
                        <w:lang w:eastAsia="sk-SK"/>
                      </w:rPr>
                      <w:drawing>
                        <wp:inline distT="0" distB="0" distL="0" distR="0" wp14:anchorId="477D5049" wp14:editId="2D7DED04">
                          <wp:extent cx="647808" cy="40005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49921" cy="4013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14:paraId="70FBE9E1" w14:textId="77777777" w:rsidR="003A117C" w:rsidRPr="005E6B6E" w:rsidRDefault="003A117C" w:rsidP="003A117C">
    <w:pPr>
      <w:pStyle w:val="Hlavika"/>
    </w:pPr>
  </w:p>
  <w:p w14:paraId="1D8CEB40" w14:textId="4AD04BD7" w:rsidR="008718D1" w:rsidRDefault="008718D1" w:rsidP="005E6B6E">
    <w:pPr>
      <w:pStyle w:val="Hlavika"/>
    </w:pPr>
  </w:p>
  <w:p w14:paraId="33FA4C73" w14:textId="77777777" w:rsidR="003A117C" w:rsidRPr="005E6B6E" w:rsidRDefault="003A117C" w:rsidP="005E6B6E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17C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1E6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6468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29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568DD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4D5E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756D3D774E4908869E335FE7341B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077D118-04D7-480B-8977-DB0EB1E5419B}"/>
      </w:docPartPr>
      <w:docPartBody>
        <w:p w:rsidR="00E22C87" w:rsidRDefault="00D44CE6" w:rsidP="00D44CE6">
          <w:pPr>
            <w:pStyle w:val="67756D3D774E4908869E335FE7341BEC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0488DB5F7940470DA9E555BA8AC759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C927D-A2B6-4E88-88B2-FB0E59E90D43}"/>
      </w:docPartPr>
      <w:docPartBody>
        <w:p w:rsidR="00E22C87" w:rsidRDefault="00D44CE6" w:rsidP="00D44CE6">
          <w:pPr>
            <w:pStyle w:val="0488DB5F7940470DA9E555BA8AC7593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415CC"/>
    <w:rsid w:val="000D0DF6"/>
    <w:rsid w:val="006E2383"/>
    <w:rsid w:val="00A74980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67756D3D774E4908869E335FE7341BEC">
    <w:name w:val="67756D3D774E4908869E335FE7341BEC"/>
    <w:rsid w:val="00D44CE6"/>
  </w:style>
  <w:style w:type="paragraph" w:customStyle="1" w:styleId="0488DB5F7940470DA9E555BA8AC75933">
    <w:name w:val="0488DB5F7940470DA9E555BA8AC7593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EB558-5657-43F0-AC91-4C0D1B87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2020-10-21T12:27:00Z</dcterms:modified>
</cp:coreProperties>
</file>